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51A" w:rsidRDefault="00E9751A" w:rsidP="00E9751A">
      <w:pPr>
        <w:keepNext/>
        <w:spacing w:after="120" w:line="240" w:lineRule="auto"/>
        <w:jc w:val="both"/>
        <w:outlineLvl w:val="1"/>
        <w:rPr>
          <w:rFonts w:ascii="Arial" w:eastAsia="Times New Roman" w:hAnsi="Arial" w:cs="Arial"/>
          <w:b/>
          <w:color w:val="17365D" w:themeColor="text2" w:themeShade="BF"/>
          <w:sz w:val="24"/>
          <w:szCs w:val="24"/>
          <w:lang w:val="en-GB"/>
        </w:rPr>
      </w:pPr>
      <w:r>
        <w:rPr>
          <w:rFonts w:ascii="Arial" w:eastAsia="Times New Roman" w:hAnsi="Arial" w:cs="Arial"/>
          <w:b/>
          <w:color w:val="17365D" w:themeColor="text2" w:themeShade="BF"/>
          <w:sz w:val="24"/>
          <w:szCs w:val="24"/>
          <w:lang w:val="en-GB"/>
        </w:rPr>
        <w:tab/>
      </w:r>
      <w:r>
        <w:rPr>
          <w:rFonts w:ascii="Arial" w:eastAsia="Times New Roman" w:hAnsi="Arial" w:cs="Arial"/>
          <w:b/>
          <w:color w:val="17365D" w:themeColor="text2" w:themeShade="BF"/>
          <w:sz w:val="24"/>
          <w:szCs w:val="24"/>
          <w:lang w:val="en-GB"/>
        </w:rPr>
        <w:tab/>
      </w:r>
      <w:r>
        <w:rPr>
          <w:rFonts w:ascii="Arial" w:eastAsia="Times New Roman" w:hAnsi="Arial" w:cs="Arial"/>
          <w:b/>
          <w:color w:val="17365D" w:themeColor="text2" w:themeShade="BF"/>
          <w:sz w:val="24"/>
          <w:szCs w:val="24"/>
          <w:lang w:val="en-GB"/>
        </w:rPr>
        <w:tab/>
      </w:r>
      <w:r>
        <w:rPr>
          <w:rFonts w:ascii="Arial" w:eastAsia="Times New Roman" w:hAnsi="Arial" w:cs="Arial"/>
          <w:b/>
          <w:color w:val="17365D" w:themeColor="text2" w:themeShade="BF"/>
          <w:sz w:val="24"/>
          <w:szCs w:val="24"/>
          <w:lang w:val="en-GB"/>
        </w:rPr>
        <w:tab/>
      </w:r>
      <w:r>
        <w:rPr>
          <w:rFonts w:ascii="Arial" w:eastAsia="Times New Roman" w:hAnsi="Arial" w:cs="Arial"/>
          <w:b/>
          <w:color w:val="17365D" w:themeColor="text2" w:themeShade="BF"/>
          <w:sz w:val="24"/>
          <w:szCs w:val="24"/>
          <w:lang w:val="en-GB"/>
        </w:rPr>
        <w:tab/>
      </w:r>
      <w:r>
        <w:rPr>
          <w:rFonts w:ascii="Arial" w:eastAsia="Times New Roman" w:hAnsi="Arial" w:cs="Arial"/>
          <w:b/>
          <w:color w:val="17365D" w:themeColor="text2" w:themeShade="BF"/>
          <w:sz w:val="24"/>
          <w:szCs w:val="24"/>
          <w:lang w:val="en-GB"/>
        </w:rPr>
        <w:tab/>
      </w:r>
      <w:r>
        <w:rPr>
          <w:rFonts w:ascii="Arial" w:eastAsia="Times New Roman" w:hAnsi="Arial" w:cs="Arial"/>
          <w:b/>
          <w:color w:val="17365D" w:themeColor="text2" w:themeShade="BF"/>
          <w:sz w:val="24"/>
          <w:szCs w:val="24"/>
          <w:lang w:val="en-GB"/>
        </w:rPr>
        <w:tab/>
      </w:r>
      <w:r>
        <w:rPr>
          <w:rFonts w:ascii="Arial" w:eastAsia="Times New Roman" w:hAnsi="Arial" w:cs="Arial"/>
          <w:b/>
          <w:color w:val="17365D" w:themeColor="text2" w:themeShade="BF"/>
          <w:sz w:val="24"/>
          <w:szCs w:val="24"/>
          <w:lang w:val="en-GB"/>
        </w:rPr>
        <w:tab/>
      </w:r>
      <w:r>
        <w:rPr>
          <w:rFonts w:ascii="Arial" w:eastAsia="Times New Roman" w:hAnsi="Arial" w:cs="Arial"/>
          <w:b/>
          <w:color w:val="17365D" w:themeColor="text2" w:themeShade="BF"/>
          <w:sz w:val="24"/>
          <w:szCs w:val="24"/>
          <w:lang w:val="en-GB"/>
        </w:rPr>
        <w:tab/>
      </w:r>
      <w:r>
        <w:rPr>
          <w:b/>
          <w:bCs/>
          <w:i/>
          <w:noProof/>
          <w:color w:val="1F497D" w:themeColor="text2"/>
          <w:sz w:val="44"/>
          <w:szCs w:val="44"/>
          <w:lang w:eastAsia="en-IE"/>
        </w:rPr>
        <w:drawing>
          <wp:inline distT="0" distB="0" distL="0" distR="0" wp14:anchorId="4E1656F0" wp14:editId="4A121A0A">
            <wp:extent cx="1485900" cy="1162050"/>
            <wp:effectExtent l="57150" t="0" r="57150" b="1143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F Daf pic.png"/>
                    <pic:cNvPicPr/>
                  </pic:nvPicPr>
                  <pic:blipFill>
                    <a:blip r:embed="rId6">
                      <a:extLst>
                        <a:ext uri="{28A0092B-C50C-407E-A947-70E740481C1C}">
                          <a14:useLocalDpi xmlns:a14="http://schemas.microsoft.com/office/drawing/2010/main" val="0"/>
                        </a:ext>
                      </a:extLst>
                    </a:blip>
                    <a:stretch>
                      <a:fillRect/>
                    </a:stretch>
                  </pic:blipFill>
                  <pic:spPr>
                    <a:xfrm>
                      <a:off x="0" y="0"/>
                      <a:ext cx="1485714" cy="1161905"/>
                    </a:xfrm>
                    <a:prstGeom prst="rect">
                      <a:avLst/>
                    </a:prstGeom>
                    <a:effectLst>
                      <a:outerShdw blurRad="50800" dist="50800" dir="5400000" algn="ctr" rotWithShape="0">
                        <a:sysClr val="window" lastClr="FFFFFF">
                          <a:lumMod val="65000"/>
                        </a:sysClr>
                      </a:outerShdw>
                    </a:effectLst>
                  </pic:spPr>
                </pic:pic>
              </a:graphicData>
            </a:graphic>
          </wp:inline>
        </w:drawing>
      </w:r>
      <w:bookmarkStart w:id="0" w:name="_GoBack"/>
      <w:bookmarkEnd w:id="0"/>
    </w:p>
    <w:p w:rsidR="00E9751A" w:rsidRPr="00E9751A" w:rsidRDefault="00E9751A" w:rsidP="00E9751A">
      <w:pPr>
        <w:keepNext/>
        <w:spacing w:after="120" w:line="240" w:lineRule="auto"/>
        <w:jc w:val="both"/>
        <w:outlineLvl w:val="1"/>
        <w:rPr>
          <w:rFonts w:ascii="Arial" w:eastAsia="Times New Roman" w:hAnsi="Arial" w:cs="Arial"/>
          <w:b/>
          <w:color w:val="17365D" w:themeColor="text2" w:themeShade="BF"/>
          <w:sz w:val="24"/>
          <w:szCs w:val="24"/>
          <w:lang w:val="en-GB"/>
        </w:rPr>
      </w:pPr>
      <w:r w:rsidRPr="00E9751A">
        <w:rPr>
          <w:rFonts w:ascii="Arial" w:eastAsia="Times New Roman" w:hAnsi="Arial" w:cs="Arial"/>
          <w:b/>
          <w:color w:val="17365D" w:themeColor="text2" w:themeShade="BF"/>
          <w:sz w:val="24"/>
          <w:szCs w:val="24"/>
          <w:lang w:val="en-GB"/>
        </w:rPr>
        <w:t xml:space="preserve">Grantees and Partner Organisations </w:t>
      </w:r>
    </w:p>
    <w:p w:rsidR="00E9751A" w:rsidRPr="00E9751A" w:rsidRDefault="00E9751A" w:rsidP="00E9751A">
      <w:pPr>
        <w:jc w:val="both"/>
        <w:rPr>
          <w:rFonts w:ascii="Arial" w:hAnsi="Arial" w:cs="Arial"/>
          <w:color w:val="000000"/>
          <w:lang w:val="en-US"/>
        </w:rPr>
      </w:pPr>
      <w:r w:rsidRPr="00E9751A">
        <w:rPr>
          <w:rFonts w:ascii="Arial" w:hAnsi="Arial" w:cs="Arial"/>
          <w:color w:val="000000"/>
          <w:lang w:val="en-US"/>
        </w:rPr>
        <w:t xml:space="preserve">The Grantee is the company that holds the Pobal grant agreement and has the responsibility of reporting to Pobal all project financial expenditure, activities and outputs, whether these were directly incurred or generated by your own </w:t>
      </w:r>
      <w:proofErr w:type="spellStart"/>
      <w:r w:rsidRPr="00E9751A">
        <w:rPr>
          <w:rFonts w:ascii="Arial" w:hAnsi="Arial" w:cs="Arial"/>
          <w:color w:val="000000"/>
          <w:lang w:val="en-US"/>
        </w:rPr>
        <w:t>organisation</w:t>
      </w:r>
      <w:proofErr w:type="spellEnd"/>
      <w:r w:rsidRPr="00E9751A">
        <w:rPr>
          <w:rFonts w:ascii="Arial" w:hAnsi="Arial" w:cs="Arial"/>
          <w:color w:val="000000"/>
          <w:lang w:val="en-US"/>
        </w:rPr>
        <w:t xml:space="preserve"> or by a partner </w:t>
      </w:r>
      <w:proofErr w:type="spellStart"/>
      <w:r w:rsidRPr="00E9751A">
        <w:rPr>
          <w:rFonts w:ascii="Arial" w:hAnsi="Arial" w:cs="Arial"/>
          <w:color w:val="000000"/>
          <w:lang w:val="en-US"/>
        </w:rPr>
        <w:t>organisation</w:t>
      </w:r>
      <w:proofErr w:type="spellEnd"/>
      <w:r w:rsidRPr="00E9751A">
        <w:rPr>
          <w:rFonts w:ascii="Arial" w:hAnsi="Arial" w:cs="Arial"/>
          <w:color w:val="000000"/>
          <w:lang w:val="en-US"/>
        </w:rPr>
        <w:t xml:space="preserve">(s).  </w:t>
      </w:r>
    </w:p>
    <w:p w:rsidR="00E9751A" w:rsidRPr="00E9751A" w:rsidRDefault="00E9751A" w:rsidP="00E9751A">
      <w:pPr>
        <w:jc w:val="both"/>
        <w:rPr>
          <w:rFonts w:ascii="Arial" w:hAnsi="Arial" w:cs="Arial"/>
          <w:color w:val="000000"/>
          <w:lang w:val="en-US"/>
        </w:rPr>
      </w:pPr>
      <w:r w:rsidRPr="00E9751A">
        <w:rPr>
          <w:rFonts w:ascii="Arial" w:hAnsi="Arial" w:cs="Arial"/>
          <w:color w:val="000000"/>
          <w:lang w:val="en-US"/>
        </w:rPr>
        <w:t xml:space="preserve">It is the responsibility of the Grantee to ensure that all project partners who incur expenditure using DAF funding adhere to the </w:t>
      </w:r>
      <w:proofErr w:type="spellStart"/>
      <w:r w:rsidRPr="00E9751A">
        <w:rPr>
          <w:rFonts w:ascii="Arial" w:hAnsi="Arial" w:cs="Arial"/>
          <w:color w:val="000000"/>
          <w:lang w:val="en-US"/>
        </w:rPr>
        <w:t>programme</w:t>
      </w:r>
      <w:proofErr w:type="spellEnd"/>
      <w:r w:rsidRPr="00E9751A">
        <w:rPr>
          <w:rFonts w:ascii="Arial" w:hAnsi="Arial" w:cs="Arial"/>
          <w:color w:val="000000"/>
          <w:lang w:val="en-US"/>
        </w:rPr>
        <w:t xml:space="preserve"> guidelines and reporting requirements of the Dormant Accounts Fund. It is also essential that the Grantee ensures that Public Procurement Guidelines are adhered to by the Partner </w:t>
      </w:r>
      <w:proofErr w:type="spellStart"/>
      <w:r w:rsidRPr="00E9751A">
        <w:rPr>
          <w:rFonts w:ascii="Arial" w:hAnsi="Arial" w:cs="Arial"/>
          <w:color w:val="000000"/>
          <w:lang w:val="en-US"/>
        </w:rPr>
        <w:t>Organisation</w:t>
      </w:r>
      <w:proofErr w:type="spellEnd"/>
      <w:r w:rsidRPr="00E9751A">
        <w:rPr>
          <w:rFonts w:ascii="Arial" w:hAnsi="Arial" w:cs="Arial"/>
          <w:color w:val="000000"/>
          <w:lang w:val="en-US"/>
        </w:rPr>
        <w:t xml:space="preserve">. </w:t>
      </w:r>
    </w:p>
    <w:p w:rsidR="00E9751A" w:rsidRPr="00E9751A" w:rsidRDefault="00E9751A" w:rsidP="00E9751A">
      <w:pPr>
        <w:jc w:val="both"/>
        <w:rPr>
          <w:rFonts w:ascii="Arial" w:hAnsi="Arial" w:cs="Arial"/>
          <w:color w:val="000000"/>
          <w:lang w:val="en-US"/>
        </w:rPr>
      </w:pPr>
      <w:r w:rsidRPr="00E9751A">
        <w:rPr>
          <w:rFonts w:ascii="Arial" w:hAnsi="Arial" w:cs="Arial"/>
          <w:color w:val="000000"/>
          <w:lang w:val="en-US"/>
        </w:rPr>
        <w:t xml:space="preserve">As a Grantee, you must have on file a letter signed on behalf of the board of the partner and lead </w:t>
      </w:r>
      <w:proofErr w:type="spellStart"/>
      <w:r w:rsidRPr="00E9751A">
        <w:rPr>
          <w:rFonts w:ascii="Arial" w:hAnsi="Arial" w:cs="Arial"/>
          <w:color w:val="000000"/>
          <w:lang w:val="en-US"/>
        </w:rPr>
        <w:t>organisations</w:t>
      </w:r>
      <w:proofErr w:type="spellEnd"/>
      <w:r w:rsidRPr="00E9751A">
        <w:rPr>
          <w:rFonts w:ascii="Arial" w:hAnsi="Arial" w:cs="Arial"/>
          <w:color w:val="000000"/>
          <w:lang w:val="en-US"/>
        </w:rPr>
        <w:t xml:space="preserve"> which states that the partner </w:t>
      </w:r>
      <w:proofErr w:type="spellStart"/>
      <w:r w:rsidRPr="00E9751A">
        <w:rPr>
          <w:rFonts w:ascii="Arial" w:hAnsi="Arial" w:cs="Arial"/>
          <w:color w:val="000000"/>
          <w:lang w:val="en-US"/>
        </w:rPr>
        <w:t>organisation</w:t>
      </w:r>
      <w:proofErr w:type="spellEnd"/>
      <w:r w:rsidRPr="00E9751A">
        <w:rPr>
          <w:rFonts w:ascii="Arial" w:hAnsi="Arial" w:cs="Arial"/>
          <w:color w:val="000000"/>
          <w:lang w:val="en-US"/>
        </w:rPr>
        <w:t xml:space="preserve"> is a partner for the purpose of this Dormant Accounts project and that a partnership agreement has been signed and is available for inspection.</w:t>
      </w:r>
    </w:p>
    <w:p w:rsidR="00E9751A" w:rsidRPr="00E9751A" w:rsidRDefault="00E9751A" w:rsidP="00E9751A">
      <w:pPr>
        <w:jc w:val="both"/>
        <w:rPr>
          <w:rFonts w:ascii="Arial" w:hAnsi="Arial" w:cs="Arial"/>
          <w:color w:val="000000"/>
          <w:lang w:val="en-US"/>
        </w:rPr>
      </w:pPr>
      <w:r w:rsidRPr="00E9751A">
        <w:rPr>
          <w:rFonts w:ascii="Arial" w:hAnsi="Arial" w:cs="Arial"/>
          <w:color w:val="000000"/>
          <w:lang w:val="en-US"/>
        </w:rPr>
        <w:t xml:space="preserve">It is </w:t>
      </w:r>
      <w:r>
        <w:rPr>
          <w:rFonts w:ascii="Arial" w:hAnsi="Arial" w:cs="Arial"/>
          <w:color w:val="000000"/>
          <w:lang w:val="en-US"/>
        </w:rPr>
        <w:t xml:space="preserve">strongly </w:t>
      </w:r>
      <w:r w:rsidRPr="00E9751A">
        <w:rPr>
          <w:rFonts w:ascii="Arial" w:hAnsi="Arial" w:cs="Arial"/>
          <w:color w:val="000000"/>
          <w:lang w:val="en-US"/>
        </w:rPr>
        <w:t xml:space="preserve">recommended that a written agreement is put in place between the Grantee and the partner </w:t>
      </w:r>
      <w:proofErr w:type="spellStart"/>
      <w:r w:rsidRPr="00E9751A">
        <w:rPr>
          <w:rFonts w:ascii="Arial" w:hAnsi="Arial" w:cs="Arial"/>
          <w:color w:val="000000"/>
          <w:lang w:val="en-US"/>
        </w:rPr>
        <w:t>organisation</w:t>
      </w:r>
      <w:proofErr w:type="spellEnd"/>
      <w:r w:rsidRPr="00E9751A">
        <w:rPr>
          <w:rFonts w:ascii="Arial" w:hAnsi="Arial" w:cs="Arial"/>
          <w:color w:val="000000"/>
          <w:lang w:val="en-US"/>
        </w:rPr>
        <w:t xml:space="preserve">(s) outlining </w:t>
      </w:r>
      <w:proofErr w:type="spellStart"/>
      <w:r w:rsidRPr="00E9751A">
        <w:rPr>
          <w:rFonts w:ascii="Arial" w:hAnsi="Arial" w:cs="Arial"/>
          <w:color w:val="000000"/>
          <w:lang w:val="en-US"/>
        </w:rPr>
        <w:t>organisational</w:t>
      </w:r>
      <w:proofErr w:type="spellEnd"/>
      <w:r w:rsidRPr="00E9751A">
        <w:rPr>
          <w:rFonts w:ascii="Arial" w:hAnsi="Arial" w:cs="Arial"/>
          <w:color w:val="000000"/>
          <w:lang w:val="en-US"/>
        </w:rPr>
        <w:t xml:space="preserve"> roles and responsibilities and the reporting requirements of partner </w:t>
      </w:r>
      <w:proofErr w:type="spellStart"/>
      <w:r w:rsidRPr="00E9751A">
        <w:rPr>
          <w:rFonts w:ascii="Arial" w:hAnsi="Arial" w:cs="Arial"/>
          <w:color w:val="000000"/>
          <w:lang w:val="en-US"/>
        </w:rPr>
        <w:t>organisations</w:t>
      </w:r>
      <w:proofErr w:type="spellEnd"/>
      <w:r w:rsidRPr="00E9751A">
        <w:rPr>
          <w:rFonts w:ascii="Arial" w:hAnsi="Arial" w:cs="Arial"/>
          <w:color w:val="000000"/>
          <w:lang w:val="en-US"/>
        </w:rPr>
        <w:t xml:space="preserve">.  </w:t>
      </w:r>
    </w:p>
    <w:p w:rsidR="00E9751A" w:rsidRPr="00E9751A" w:rsidRDefault="00E9751A" w:rsidP="00E9751A">
      <w:pPr>
        <w:jc w:val="both"/>
        <w:rPr>
          <w:rFonts w:ascii="Arial" w:hAnsi="Arial" w:cs="Arial"/>
          <w:color w:val="000000"/>
          <w:lang w:val="en-US"/>
        </w:rPr>
      </w:pPr>
      <w:r w:rsidRPr="00E9751A">
        <w:rPr>
          <w:rFonts w:ascii="Arial" w:hAnsi="Arial" w:cs="Arial"/>
          <w:color w:val="000000"/>
          <w:lang w:val="en-US"/>
        </w:rPr>
        <w:t xml:space="preserve"> The partnership agreement should include the following:</w:t>
      </w:r>
    </w:p>
    <w:p w:rsidR="00E9751A" w:rsidRPr="00E9751A" w:rsidRDefault="00E9751A" w:rsidP="00E9751A">
      <w:pPr>
        <w:numPr>
          <w:ilvl w:val="0"/>
          <w:numId w:val="1"/>
        </w:numPr>
        <w:spacing w:after="0"/>
        <w:contextualSpacing/>
        <w:jc w:val="both"/>
        <w:rPr>
          <w:rFonts w:ascii="Arial" w:hAnsi="Arial" w:cs="Arial"/>
          <w:color w:val="000000"/>
          <w:lang w:val="en-US"/>
        </w:rPr>
      </w:pPr>
      <w:r w:rsidRPr="00E9751A">
        <w:rPr>
          <w:rFonts w:ascii="Arial" w:hAnsi="Arial" w:cs="Arial"/>
          <w:color w:val="000000"/>
          <w:lang w:val="en-US"/>
        </w:rPr>
        <w:t xml:space="preserve">The agreement clearly identifies the lead </w:t>
      </w:r>
      <w:proofErr w:type="spellStart"/>
      <w:r w:rsidRPr="00E9751A">
        <w:rPr>
          <w:rFonts w:ascii="Arial" w:hAnsi="Arial" w:cs="Arial"/>
          <w:color w:val="000000"/>
          <w:lang w:val="en-US"/>
        </w:rPr>
        <w:t>organisation</w:t>
      </w:r>
      <w:proofErr w:type="spellEnd"/>
      <w:r w:rsidRPr="00E9751A">
        <w:rPr>
          <w:rFonts w:ascii="Arial" w:hAnsi="Arial" w:cs="Arial"/>
          <w:color w:val="000000"/>
          <w:lang w:val="en-US"/>
        </w:rPr>
        <w:t xml:space="preserve"> and its responsibilities for making all financial and non-financial reports to Pobal.</w:t>
      </w:r>
    </w:p>
    <w:p w:rsidR="00E9751A" w:rsidRPr="00E9751A" w:rsidRDefault="00E9751A" w:rsidP="00E9751A">
      <w:pPr>
        <w:numPr>
          <w:ilvl w:val="0"/>
          <w:numId w:val="1"/>
        </w:numPr>
        <w:spacing w:after="0"/>
        <w:contextualSpacing/>
        <w:jc w:val="both"/>
        <w:rPr>
          <w:rFonts w:ascii="Arial" w:hAnsi="Arial" w:cs="Arial"/>
          <w:color w:val="000000"/>
          <w:lang w:val="en-US"/>
        </w:rPr>
      </w:pPr>
      <w:r w:rsidRPr="00E9751A">
        <w:rPr>
          <w:rFonts w:ascii="Arial" w:hAnsi="Arial" w:cs="Arial"/>
          <w:color w:val="000000"/>
          <w:lang w:val="en-US"/>
        </w:rPr>
        <w:t>This responsibility includes ensuring that project partners are aware of, and adhere to, all Departmental regulations and Pobal requirements and deadlines.</w:t>
      </w:r>
    </w:p>
    <w:p w:rsidR="00E9751A" w:rsidRPr="00E9751A" w:rsidRDefault="00E9751A" w:rsidP="00E9751A">
      <w:pPr>
        <w:numPr>
          <w:ilvl w:val="0"/>
          <w:numId w:val="1"/>
        </w:numPr>
        <w:spacing w:after="0"/>
        <w:contextualSpacing/>
        <w:jc w:val="both"/>
        <w:rPr>
          <w:rFonts w:ascii="Arial" w:hAnsi="Arial" w:cs="Arial"/>
          <w:color w:val="000000"/>
          <w:lang w:val="en-US"/>
        </w:rPr>
      </w:pPr>
      <w:r w:rsidRPr="00E9751A">
        <w:rPr>
          <w:rFonts w:ascii="Arial" w:hAnsi="Arial" w:cs="Arial"/>
          <w:color w:val="000000"/>
          <w:lang w:val="en-US"/>
        </w:rPr>
        <w:t xml:space="preserve">All parties must adhere to the conditions of the grant agreement, including the eligibility of expenditure and actions under the </w:t>
      </w:r>
      <w:proofErr w:type="spellStart"/>
      <w:r w:rsidRPr="00E9751A">
        <w:rPr>
          <w:rFonts w:ascii="Arial" w:hAnsi="Arial" w:cs="Arial"/>
          <w:color w:val="000000"/>
          <w:lang w:val="en-US"/>
        </w:rPr>
        <w:t>programme</w:t>
      </w:r>
      <w:proofErr w:type="spellEnd"/>
      <w:r w:rsidRPr="00E9751A">
        <w:rPr>
          <w:rFonts w:ascii="Arial" w:hAnsi="Arial" w:cs="Arial"/>
          <w:color w:val="000000"/>
          <w:lang w:val="en-US"/>
        </w:rPr>
        <w:t>, as outlined in this manual.</w:t>
      </w:r>
    </w:p>
    <w:p w:rsidR="00E9751A" w:rsidRPr="00E9751A" w:rsidRDefault="00E9751A" w:rsidP="00E9751A">
      <w:pPr>
        <w:numPr>
          <w:ilvl w:val="0"/>
          <w:numId w:val="1"/>
        </w:numPr>
        <w:spacing w:after="0"/>
        <w:contextualSpacing/>
        <w:jc w:val="both"/>
        <w:rPr>
          <w:rFonts w:ascii="Arial" w:hAnsi="Arial" w:cs="Arial"/>
          <w:color w:val="000000"/>
          <w:lang w:val="en-US"/>
        </w:rPr>
      </w:pPr>
      <w:r w:rsidRPr="00E9751A">
        <w:rPr>
          <w:rFonts w:ascii="Arial" w:hAnsi="Arial" w:cs="Arial"/>
          <w:color w:val="000000"/>
          <w:lang w:val="en-US"/>
        </w:rPr>
        <w:t>It must set out the roles and responsibilities of each partner in implementing the project activities, in maintaining correct books and records.</w:t>
      </w:r>
    </w:p>
    <w:p w:rsidR="00E9751A" w:rsidRPr="00E9751A" w:rsidRDefault="00E9751A" w:rsidP="00E9751A">
      <w:pPr>
        <w:numPr>
          <w:ilvl w:val="0"/>
          <w:numId w:val="1"/>
        </w:numPr>
        <w:spacing w:after="0"/>
        <w:contextualSpacing/>
        <w:jc w:val="both"/>
        <w:rPr>
          <w:rFonts w:ascii="Arial" w:hAnsi="Arial" w:cs="Arial"/>
          <w:color w:val="000000"/>
          <w:lang w:val="en-US"/>
        </w:rPr>
      </w:pPr>
      <w:r w:rsidRPr="00E9751A">
        <w:rPr>
          <w:rFonts w:ascii="Arial" w:hAnsi="Arial" w:cs="Arial"/>
          <w:color w:val="000000"/>
          <w:lang w:val="en-US"/>
        </w:rPr>
        <w:t xml:space="preserve">Comprehensive expenditure reports of DAF expenditure, linked to bank reconciliations must be submitted to the Lead </w:t>
      </w:r>
      <w:proofErr w:type="spellStart"/>
      <w:r w:rsidRPr="00E9751A">
        <w:rPr>
          <w:rFonts w:ascii="Arial" w:hAnsi="Arial" w:cs="Arial"/>
          <w:color w:val="000000"/>
          <w:lang w:val="en-US"/>
        </w:rPr>
        <w:t>organisation</w:t>
      </w:r>
      <w:proofErr w:type="spellEnd"/>
      <w:r w:rsidRPr="00E9751A">
        <w:rPr>
          <w:rFonts w:ascii="Arial" w:hAnsi="Arial" w:cs="Arial"/>
          <w:color w:val="000000"/>
          <w:lang w:val="en-US"/>
        </w:rPr>
        <w:t xml:space="preserve">, on a timely basis, to facilitate the preparation of DAF expenditure returns to Pobal. </w:t>
      </w:r>
    </w:p>
    <w:p w:rsidR="00E9751A" w:rsidRPr="00E9751A" w:rsidRDefault="00E9751A" w:rsidP="00E9751A">
      <w:pPr>
        <w:numPr>
          <w:ilvl w:val="0"/>
          <w:numId w:val="1"/>
        </w:numPr>
        <w:spacing w:after="0"/>
        <w:contextualSpacing/>
        <w:jc w:val="both"/>
        <w:rPr>
          <w:rFonts w:ascii="Arial" w:hAnsi="Arial" w:cs="Arial"/>
          <w:color w:val="000000"/>
          <w:lang w:val="en-US"/>
        </w:rPr>
      </w:pPr>
      <w:r w:rsidRPr="00E9751A">
        <w:rPr>
          <w:rFonts w:ascii="Arial" w:hAnsi="Arial" w:cs="Arial"/>
          <w:color w:val="000000"/>
          <w:lang w:val="en-US"/>
        </w:rPr>
        <w:t>All partners’ documentation and records relating to reporting requirements should be supplied to Pobal, upon request.</w:t>
      </w:r>
    </w:p>
    <w:p w:rsidR="00E9751A" w:rsidRPr="00E9751A" w:rsidRDefault="00E9751A" w:rsidP="00E9751A">
      <w:pPr>
        <w:numPr>
          <w:ilvl w:val="0"/>
          <w:numId w:val="1"/>
        </w:numPr>
        <w:spacing w:after="0"/>
        <w:contextualSpacing/>
        <w:jc w:val="both"/>
        <w:rPr>
          <w:rFonts w:ascii="Arial" w:hAnsi="Arial" w:cs="Arial"/>
          <w:color w:val="000000"/>
          <w:lang w:val="en-US"/>
        </w:rPr>
      </w:pPr>
      <w:r w:rsidRPr="00E9751A">
        <w:rPr>
          <w:rFonts w:ascii="Arial" w:hAnsi="Arial" w:cs="Arial"/>
          <w:color w:val="000000"/>
          <w:lang w:val="en-US"/>
        </w:rPr>
        <w:t xml:space="preserve">The Lead </w:t>
      </w:r>
      <w:proofErr w:type="spellStart"/>
      <w:r w:rsidRPr="00E9751A">
        <w:rPr>
          <w:rFonts w:ascii="Arial" w:hAnsi="Arial" w:cs="Arial"/>
          <w:color w:val="000000"/>
          <w:lang w:val="en-US"/>
        </w:rPr>
        <w:t>organisation</w:t>
      </w:r>
      <w:proofErr w:type="spellEnd"/>
      <w:r w:rsidRPr="00E9751A">
        <w:rPr>
          <w:rFonts w:ascii="Arial" w:hAnsi="Arial" w:cs="Arial"/>
          <w:color w:val="000000"/>
          <w:lang w:val="en-US"/>
        </w:rPr>
        <w:t xml:space="preserve">, Pobal, the respective Government Departments and their agents have rights of access to inspect and take copies of all related DAF documentation, both financial and non-financial at the Partners </w:t>
      </w:r>
      <w:proofErr w:type="spellStart"/>
      <w:r w:rsidRPr="00E9751A">
        <w:rPr>
          <w:rFonts w:ascii="Arial" w:hAnsi="Arial" w:cs="Arial"/>
          <w:color w:val="000000"/>
          <w:lang w:val="en-US"/>
        </w:rPr>
        <w:t>organisation’s</w:t>
      </w:r>
      <w:proofErr w:type="spellEnd"/>
      <w:r w:rsidRPr="00E9751A">
        <w:rPr>
          <w:rFonts w:ascii="Arial" w:hAnsi="Arial" w:cs="Arial"/>
          <w:color w:val="000000"/>
          <w:lang w:val="en-US"/>
        </w:rPr>
        <w:t xml:space="preserve"> premises, at all reasonable times during business hours. </w:t>
      </w:r>
    </w:p>
    <w:p w:rsidR="007C72AC" w:rsidRDefault="007C72AC"/>
    <w:sectPr w:rsidR="007C72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bullet="t">
        <v:imagedata r:id="rId1" o:title="BD21482_"/>
      </v:shape>
    </w:pict>
  </w:numPicBullet>
  <w:abstractNum w:abstractNumId="0">
    <w:nsid w:val="46475506"/>
    <w:multiLevelType w:val="hybridMultilevel"/>
    <w:tmpl w:val="FE26C596"/>
    <w:lvl w:ilvl="0" w:tplc="66EE3324">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51A"/>
    <w:rsid w:val="007C72AC"/>
    <w:rsid w:val="00E9751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75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75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75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75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F56E2956FE8469ECD4AA78C357548" ma:contentTypeVersion="5" ma:contentTypeDescription="Create a new document." ma:contentTypeScope="" ma:versionID="641c35d8fab99ae7281a50eed09b3cf9">
  <xsd:schema xmlns:xsd="http://www.w3.org/2001/XMLSchema" xmlns:xs="http://www.w3.org/2001/XMLSchema" xmlns:p="http://schemas.microsoft.com/office/2006/metadata/properties" xmlns:ns1="http://schemas.microsoft.com/sharepoint/v3" xmlns:ns2="1cbf2052-484a-49de-ad8a-662b8e56b0d6" xmlns:ns3="ffa1726e-2023-4f79-bf5a-55b4dfdd1eb3" targetNamespace="http://schemas.microsoft.com/office/2006/metadata/properties" ma:root="true" ma:fieldsID="fcc5a08473b7920773163610cb2616d2" ns1:_="" ns2:_="" ns3:_="">
    <xsd:import namespace="http://schemas.microsoft.com/sharepoint/v3"/>
    <xsd:import namespace="1cbf2052-484a-49de-ad8a-662b8e56b0d6"/>
    <xsd:import namespace="ffa1726e-2023-4f79-bf5a-55b4dfdd1eb3"/>
    <xsd:element name="properties">
      <xsd:complexType>
        <xsd:sequence>
          <xsd:element name="documentManagement">
            <xsd:complexType>
              <xsd:all>
                <xsd:element ref="ns1:PublishingStartDate" minOccurs="0"/>
                <xsd:element ref="ns1:PublishingExpirationDate" minOccurs="0"/>
                <xsd:element ref="ns2:PublicationCategories" minOccurs="0"/>
                <xsd:element ref="ns2:PublicationMostRequested" minOccurs="0"/>
                <xsd:element ref="ns2:PublicationProgrammes" minOccurs="0"/>
                <xsd:element ref="ns3:Sub_x002d_Program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2" nillable="true" ma:displayName="Scheduling Start Date" ma:internalName="PublishingStartDate">
      <xsd:simpleType>
        <xsd:restriction base="dms:Unknown"/>
      </xsd:simpleType>
    </xsd:element>
    <xsd:element name="PublishingExpirationDate" ma:index="3"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bf2052-484a-49de-ad8a-662b8e56b0d6" elementFormDefault="qualified">
    <xsd:import namespace="http://schemas.microsoft.com/office/2006/documentManagement/types"/>
    <xsd:import namespace="http://schemas.microsoft.com/office/infopath/2007/PartnerControls"/>
    <xsd:element name="PublicationCategories" ma:index="4" nillable="true" ma:displayName="PublicationCategories" ma:internalName="PublicationCategories">
      <xsd:complexType>
        <xsd:complexContent>
          <xsd:extension base="dms:MultiChoice">
            <xsd:sequence>
              <xsd:element name="Value" maxOccurs="unbounded" minOccurs="0" nillable="true">
                <xsd:simpleType>
                  <xsd:restriction base="dms:Choice">
                    <xsd:enumeration value="Corporate"/>
                    <xsd:enumeration value="Government"/>
                    <xsd:enumeration value="Media"/>
                    <xsd:enumeration value="Programme"/>
                    <xsd:enumeration value="Research"/>
                  </xsd:restriction>
                </xsd:simpleType>
              </xsd:element>
            </xsd:sequence>
          </xsd:extension>
        </xsd:complexContent>
      </xsd:complexType>
    </xsd:element>
    <xsd:element name="PublicationMostRequested" ma:index="5" nillable="true" ma:displayName="PublicationMostRequested" ma:default="0" ma:internalName="PublicationMostRequested">
      <xsd:simpleType>
        <xsd:restriction base="dms:Boolean"/>
      </xsd:simpleType>
    </xsd:element>
    <xsd:element name="PublicationProgrammes" ma:index="6" nillable="true" ma:displayName="Programme Category" ma:format="Dropdown" ma:internalName="PublicationProgrammes">
      <xsd:simpleType>
        <xsd:restriction base="dms:Choice">
          <xsd:enumeration value="ABC"/>
          <xsd:enumeration value="All Programmes"/>
          <xsd:enumeration value="Community &amp; Voluntary Grants"/>
          <xsd:enumeration value="Community Based CCTV"/>
          <xsd:enumeration value="Community Services Programme"/>
          <xsd:enumeration value="Dormant Accounts Fund"/>
          <xsd:enumeration value="Disability Activation Project"/>
          <xsd:enumeration value="Early Education &amp; Childcare"/>
          <xsd:enumeration value="Early Years Childcare"/>
          <xsd:enumeration value="Enhancing Disability Services"/>
          <xsd:enumeration value="Equality for Women"/>
          <xsd:enumeration value="European Integration Fund"/>
          <xsd:enumeration value="European Refugee Fund"/>
          <xsd:enumeration value="EIF &amp; ERF"/>
          <xsd:enumeration value="EU Life Long Learning"/>
          <xsd:enumeration value="Gateway"/>
          <xsd:enumeration value="Healthy Ireland Fund"/>
          <xsd:enumeration value="LEADER"/>
          <xsd:enumeration value="Learner Fund"/>
          <xsd:enumeration value="Local Community Development Programme"/>
          <xsd:enumeration value="LDSIP"/>
          <xsd:enumeration value="Millennium Project Fund"/>
          <xsd:enumeration value="National Early Years Access Initiative"/>
          <xsd:enumeration value="PEACE"/>
          <xsd:enumeration value="RAPID"/>
          <xsd:enumeration value="Rural Social Scheme"/>
          <xsd:enumeration value="Rural Transport"/>
          <xsd:enumeration value="Seniors Alert Scheme"/>
          <xsd:enumeration value="SICAP"/>
          <xsd:enumeration value="SSNO"/>
          <xsd:enumeration value="Traveller Interagency Programme"/>
          <xsd:enumeration value="TÚS"/>
          <xsd:enumeration value="Youth Capital Programmes"/>
        </xsd:restriction>
      </xsd:simpleType>
    </xsd:element>
  </xsd:schema>
  <xsd:schema xmlns:xsd="http://www.w3.org/2001/XMLSchema" xmlns:xs="http://www.w3.org/2001/XMLSchema" xmlns:dms="http://schemas.microsoft.com/office/2006/documentManagement/types" xmlns:pc="http://schemas.microsoft.com/office/infopath/2007/PartnerControls" targetNamespace="ffa1726e-2023-4f79-bf5a-55b4dfdd1eb3" elementFormDefault="qualified">
    <xsd:import namespace="http://schemas.microsoft.com/office/2006/documentManagement/types"/>
    <xsd:import namespace="http://schemas.microsoft.com/office/infopath/2007/PartnerControls"/>
    <xsd:element name="Sub_x002d_Programme" ma:index="7" nillable="true" ma:displayName="Sub-Programme" ma:format="Dropdown" ma:internalName="Sub_x002d_Programme">
      <xsd:simpleType>
        <xsd:restriction base="dms:Choice">
          <xsd:enumeration value="CETS"/>
          <xsd:enumeration value="ECCE"/>
          <xsd:enumeration value="CCS"/>
          <xsd:enumeration value="PIP"/>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ub_x002d_Programme xmlns="ffa1726e-2023-4f79-bf5a-55b4dfdd1eb3" xsi:nil="true"/>
    <PublicationProgrammes xmlns="1cbf2052-484a-49de-ad8a-662b8e56b0d6">Dormant Accounts Fund</PublicationProgrammes>
    <PublishingExpirationDate xmlns="http://schemas.microsoft.com/sharepoint/v3" xsi:nil="true"/>
    <PublishingStartDate xmlns="http://schemas.microsoft.com/sharepoint/v3" xsi:nil="true"/>
    <PublicationMostRequested xmlns="1cbf2052-484a-49de-ad8a-662b8e56b0d6">false</PublicationMostRequested>
    <PublicationCategories xmlns="1cbf2052-484a-49de-ad8a-662b8e56b0d6">
      <Value>Programme</Value>
    </PublicationCategories>
  </documentManagement>
</p:properties>
</file>

<file path=customXml/itemProps1.xml><?xml version="1.0" encoding="utf-8"?>
<ds:datastoreItem xmlns:ds="http://schemas.openxmlformats.org/officeDocument/2006/customXml" ds:itemID="{55690622-8FC0-41F9-8EE4-2E942F61049F}"/>
</file>

<file path=customXml/itemProps2.xml><?xml version="1.0" encoding="utf-8"?>
<ds:datastoreItem xmlns:ds="http://schemas.openxmlformats.org/officeDocument/2006/customXml" ds:itemID="{D1F2F24A-FAAB-47B6-8109-B8D492D9200F}"/>
</file>

<file path=customXml/itemProps3.xml><?xml version="1.0" encoding="utf-8"?>
<ds:datastoreItem xmlns:ds="http://schemas.openxmlformats.org/officeDocument/2006/customXml" ds:itemID="{4AA06A7D-7A17-47B8-8369-8121C208245A}"/>
</file>

<file path=docProps/app.xml><?xml version="1.0" encoding="utf-8"?>
<Properties xmlns="http://schemas.openxmlformats.org/officeDocument/2006/extended-properties" xmlns:vt="http://schemas.openxmlformats.org/officeDocument/2006/docPropsVTypes">
  <Template>Normal</Template>
  <TotalTime>6</TotalTime>
  <Pages>1</Pages>
  <Words>371</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Grantees and Partner Organisations Information Note</dc:title>
  <dc:creator>Helen Gilson</dc:creator>
  <cp:lastModifiedBy>Helen Gilson</cp:lastModifiedBy>
  <cp:revision>1</cp:revision>
  <dcterms:created xsi:type="dcterms:W3CDTF">2016-02-01T10:06:00Z</dcterms:created>
  <dcterms:modified xsi:type="dcterms:W3CDTF">2016-02-01T10:14:00Z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0x010100B7EF56E2956FE8469ECD4AA78C357548</vt:lpwstr>
  </property>
</Properties>
</file>